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 xml:space="preserve">график (план) проведения практики </w:t>
      </w:r>
      <w:r w:rsidRPr="006B2317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6B2317" w:rsidRPr="006B2317" w:rsidRDefault="006B2317" w:rsidP="006B2317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2317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6B2317" w:rsidRPr="006B2317" w:rsidRDefault="006B2317" w:rsidP="006B231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317" w:rsidRPr="006B2317" w:rsidRDefault="006B2317" w:rsidP="006B23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6B2317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6B2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317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6B2317" w:rsidRPr="006B2317" w:rsidRDefault="006B2317" w:rsidP="006B231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6B2317">
        <w:rPr>
          <w:rFonts w:ascii="Times New Roman" w:eastAsia="Calibri" w:hAnsi="Times New Roman" w:cs="Times New Roman"/>
          <w:b/>
          <w:sz w:val="24"/>
          <w:szCs w:val="24"/>
        </w:rPr>
        <w:t xml:space="preserve"> (профиль)/специализация: </w:t>
      </w:r>
      <w:r w:rsidRPr="006B2317">
        <w:rPr>
          <w:rFonts w:ascii="Times New Roman" w:eastAsia="Calibri" w:hAnsi="Times New Roman" w:cs="Times New Roman"/>
          <w:sz w:val="24"/>
          <w:szCs w:val="24"/>
        </w:rPr>
        <w:t>уголовно-правовая</w:t>
      </w:r>
    </w:p>
    <w:p w:rsidR="006B2317" w:rsidRPr="006B2317" w:rsidRDefault="006B2317" w:rsidP="006B23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6B2317">
        <w:rPr>
          <w:rFonts w:ascii="Times New Roman" w:eastAsia="Calibri" w:hAnsi="Times New Roman" w:cs="Times New Roman"/>
          <w:sz w:val="24"/>
          <w:szCs w:val="24"/>
        </w:rPr>
        <w:t>учебная практика: практика по получению первичных профессиональных умений и навыков</w:t>
      </w:r>
      <w:r w:rsidRPr="006B2317">
        <w:rPr>
          <w:rFonts w:ascii="Times New Roman" w:eastAsia="Calibri" w:hAnsi="Times New Roman" w:cs="Times New Roman"/>
          <w:sz w:val="24"/>
          <w:szCs w:val="24"/>
        </w:rPr>
        <w:cr/>
      </w:r>
      <w:r w:rsidRPr="006B2317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6B2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317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6B2317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6B2317" w:rsidRPr="006B2317" w:rsidRDefault="006B2317" w:rsidP="006B23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6B2317" w:rsidRPr="006B2317" w:rsidRDefault="006B2317" w:rsidP="006B23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2317" w:rsidRPr="006B2317" w:rsidRDefault="006B2317" w:rsidP="006B23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6B2317" w:rsidRPr="006B2317" w:rsidRDefault="006B2317" w:rsidP="006B231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_________________________________________________</w:t>
      </w:r>
    </w:p>
    <w:p w:rsidR="006B2317" w:rsidRPr="006B2317" w:rsidRDefault="006B2317" w:rsidP="006B23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6B2317">
        <w:rPr>
          <w:rFonts w:ascii="Times New Roman" w:eastAsia="Calibri" w:hAnsi="Times New Roman" w:cs="Times New Roman"/>
          <w:sz w:val="24"/>
          <w:szCs w:val="24"/>
        </w:rPr>
        <w:t>1) профессиональная деятельность в судах общей юрисдикции.</w:t>
      </w:r>
    </w:p>
    <w:p w:rsidR="006B2317" w:rsidRPr="006B2317" w:rsidRDefault="006B2317" w:rsidP="006B23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6B2317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</w:t>
      </w:r>
      <w:r w:rsidR="00C428E6">
        <w:rPr>
          <w:rFonts w:ascii="Times New Roman" w:eastAsia="Calibri" w:hAnsi="Times New Roman" w:cs="Times New Roman"/>
          <w:sz w:val="24"/>
          <w:szCs w:val="24"/>
        </w:rPr>
        <w:t>мств (с учетом уголовн</w:t>
      </w:r>
      <w:bookmarkStart w:id="0" w:name="_GoBack"/>
      <w:bookmarkEnd w:id="0"/>
      <w:r w:rsidRPr="006B2317">
        <w:rPr>
          <w:rFonts w:ascii="Times New Roman" w:eastAsia="Calibri" w:hAnsi="Times New Roman" w:cs="Times New Roman"/>
          <w:sz w:val="24"/>
          <w:szCs w:val="24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384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64"/>
        <w:gridCol w:w="851"/>
        <w:gridCol w:w="2268"/>
        <w:gridCol w:w="1843"/>
        <w:gridCol w:w="1275"/>
      </w:tblGrid>
      <w:tr w:rsidR="006B2317" w:rsidRPr="006B2317" w:rsidTr="00B2507D">
        <w:trPr>
          <w:trHeight w:val="283"/>
        </w:trPr>
        <w:tc>
          <w:tcPr>
            <w:tcW w:w="283" w:type="dxa"/>
            <w:vAlign w:val="center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64" w:type="dxa"/>
            <w:vAlign w:val="center"/>
          </w:tcPr>
          <w:p w:rsidR="006B2317" w:rsidRPr="006B2317" w:rsidRDefault="006B2317" w:rsidP="006B2317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6B2317" w:rsidRPr="006B2317" w:rsidRDefault="006B2317" w:rsidP="006B2317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6B2317" w:rsidRPr="006B2317" w:rsidRDefault="006B2317" w:rsidP="006B2317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6B2317" w:rsidRPr="006B2317" w:rsidRDefault="006B2317" w:rsidP="006B2317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ОПК-2 -З2; ОПК-2 –З3;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ОПК-1-У4;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–В3; ПК-2-В4;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Изучение практической организации отправления правосудия по уголовным делам. 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ПК-3 -З1; ПК-3 -З2; ПК-3 –З3; ПК-3 –З4; ПК-4-З1;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ПК-4 –З3; ПК-4 –З4;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ОПК-2-У2; ПК-2 –У4;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ПК-3 -У1; ПК-3 -У2; ПК-3 –У3; ПК-3 –У4; ПК-4 -У1; ПК-4 –У3; ПК-4 –У4; 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ПК-2-В4; ПК-3 -В1;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ПК-3 -В2; ПК-3 – В3; ПК-3 –В4; ПК-4 –В3; ПК-4 –В4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ПК-2 -У1; 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ОПК-1-В1;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ПК-3 -В2; ПК-3 –В4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ОПК-1-В4; ОПК-2 –В4;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ПК-2 -В2 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ПК-2 –У3; ПК-4 -У2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ОПК-1-В2;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ОПК-2 -В1;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ОПК-2 -В2; ОПК-2-В3; ПК-4 -В2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4" w:type="dxa"/>
            <w:vMerge w:val="restart"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–З3; ОПК-2 –З4; ПК-2 - З1; ПК-2 -З2;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–З3; ПК-2 –З4; ПК-3 -З1; ПК-3 -З2;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–З3; ПК-3 –З4; ПК-4-З1; ПК-4 -З2;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ПК-4 –З3; ПК-4 –З4</w:t>
            </w:r>
          </w:p>
        </w:tc>
        <w:tc>
          <w:tcPr>
            <w:tcW w:w="1843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ОПК-1-У3; ОПК-1-У4;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ОПК-2-У2;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2317" w:rsidRPr="006B2317" w:rsidTr="00B2507D">
        <w:trPr>
          <w:trHeight w:val="283"/>
        </w:trPr>
        <w:tc>
          <w:tcPr>
            <w:tcW w:w="283" w:type="dxa"/>
            <w:vMerge/>
          </w:tcPr>
          <w:p w:rsidR="006B2317" w:rsidRPr="006B2317" w:rsidRDefault="006B2317" w:rsidP="006B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6B2317" w:rsidRPr="006B2317" w:rsidRDefault="006B2317" w:rsidP="006B231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</w:t>
            </w:r>
            <w:r w:rsidRPr="006B23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ОПК-2-В3; ОПК-2 –В4; </w:t>
            </w: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ПК-2 -В1; ПК-2 -В2; ПК-2 –В3; ПК-2-В4; </w:t>
            </w:r>
          </w:p>
          <w:p w:rsidR="006B2317" w:rsidRPr="006B2317" w:rsidRDefault="006B2317" w:rsidP="006B231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317">
              <w:rPr>
                <w:rFonts w:ascii="Times New Roman" w:eastAsia="Calibri" w:hAnsi="Times New Roman" w:cs="Times New Roman"/>
                <w:sz w:val="20"/>
                <w:szCs w:val="20"/>
              </w:rPr>
              <w:t>ПК-3 -В1; ПК-3 -В2; ПК-3 – В3; ПК-3 –В4; ПК-4 -В1; ПК-4 -В2; ПК-4 –В3; ПК-4 –В4</w:t>
            </w:r>
          </w:p>
        </w:tc>
        <w:tc>
          <w:tcPr>
            <w:tcW w:w="1843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2317" w:rsidRPr="006B2317" w:rsidRDefault="006B2317" w:rsidP="006B231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B2317" w:rsidRPr="006B2317" w:rsidRDefault="006B2317" w:rsidP="006B231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231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B2317" w:rsidRPr="006B2317" w:rsidRDefault="006B2317" w:rsidP="006B231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231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6B2317" w:rsidRPr="006B2317" w:rsidRDefault="006B2317" w:rsidP="006B2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</w:r>
      <w:r w:rsidRPr="006B231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B2317" w:rsidRPr="006B2317" w:rsidRDefault="006B2317" w:rsidP="006B231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231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</w:r>
      <w:r w:rsidRPr="006B2317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6B2317" w:rsidRDefault="006B2317" w:rsidP="006B2317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6B2317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6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A"/>
    <w:rsid w:val="0044582A"/>
    <w:rsid w:val="006B2317"/>
    <w:rsid w:val="006C7F93"/>
    <w:rsid w:val="007A1D55"/>
    <w:rsid w:val="00C428E6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D258"/>
  <w15:chartTrackingRefBased/>
  <w15:docId w15:val="{1B61F7EC-5878-42E7-B7D0-0AC7346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6B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2019-01-22T13:15:00Z</dcterms:created>
  <dcterms:modified xsi:type="dcterms:W3CDTF">2019-05-21T07:33:00Z</dcterms:modified>
</cp:coreProperties>
</file>